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CA80B7E">
      <w:pPr>
        <w:pStyle w:val="style0"/>
        <w:spacing w:before="400"/>
        <w:rPr/>
      </w:pPr>
    </w:p>
    <w:p w14:paraId="335C6EB1">
      <w:pPr>
        <w:pStyle w:val="style0"/>
        <w:spacing w:after="60"/>
        <w:jc w:val="center"/>
        <w:rPr/>
      </w:pPr>
      <w:r>
        <w:rPr>
          <w:rFonts w:ascii="Arial" w:cs="Arial" w:eastAsia="Arial" w:hAnsi="Arial"/>
          <w:b/>
          <w:bCs/>
          <w:color w:val="1f4e79"/>
          <w:sz w:val="52"/>
          <w:szCs w:val="52"/>
        </w:rPr>
        <w:t>ORB</w:t>
      </w:r>
    </w:p>
    <w:p w14:paraId="8CBB47A2">
      <w:pPr>
        <w:pStyle w:val="style0"/>
        <w:spacing w:after="100"/>
        <w:jc w:val="center"/>
        <w:rPr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>代币经济模型与项目白皮书</w:t>
      </w:r>
    </w:p>
    <w:p w14:paraId="8BAA0F1A">
      <w:pPr>
        <w:pStyle w:val="style0"/>
        <w:spacing w:after="40"/>
        <w:jc w:val="center"/>
        <w:rPr/>
      </w:pPr>
      <w:r>
        <w:rPr>
          <w:rFonts w:ascii="Arial" w:cs="Arial" w:eastAsia="Arial" w:hAnsi="Arial"/>
          <w:color w:val="2e75b6"/>
          <w:sz w:val="20"/>
          <w:szCs w:val="20"/>
        </w:rPr>
        <w:t>The Bridge Between Traditional Finance &amp; Web3</w:t>
      </w:r>
    </w:p>
    <w:p w14:paraId="D1CD18BD">
      <w:pPr>
        <w:pStyle w:val="style0"/>
        <w:spacing w:after="40"/>
        <w:jc w:val="center"/>
        <w:rPr/>
      </w:pPr>
      <w:r>
        <w:rPr>
          <w:rFonts w:ascii="Arial" w:cs="Arial" w:eastAsia="Arial" w:hAnsi="Arial"/>
          <w:color w:val="666666"/>
          <w:sz w:val="18"/>
          <w:szCs w:val="18"/>
        </w:rPr>
        <w:t>中东石油贸易桥梁 · Web3 交易所平台代币 · 社交自媒体生态</w:t>
      </w:r>
    </w:p>
    <w:p w14:paraId="9195BBE3">
      <w:pPr>
        <w:pStyle w:val="style0"/>
        <w:spacing w:after="300"/>
        <w:jc w:val="center"/>
        <w:rPr/>
      </w:pPr>
      <w:r>
        <w:rPr>
          <w:rFonts w:ascii="Arial" w:cs="Arial" w:eastAsia="Arial" w:hAnsi="Arial"/>
          <w:color w:val="999999"/>
          <w:sz w:val="18"/>
          <w:szCs w:val="18"/>
        </w:rPr>
        <w:t>正式完整版  |  玩法规则注释清晰</w:t>
      </w:r>
    </w:p>
    <w:p w14:paraId="3E3A84D1">
      <w:pPr>
        <w:pStyle w:val="style4106"/>
        <w:rPr/>
      </w:pPr>
      <w:r>
        <w:t>重要声明</w:t>
      </w:r>
    </w:p>
    <w:p w14:paraId="3890C1A4">
      <w:pPr>
        <w:pStyle w:val="style0"/>
        <w:spacing w:after="80"/>
        <w:rPr/>
      </w:pPr>
      <w:r>
        <w:rPr>
          <w:rFonts w:ascii="Arial" w:cs="Arial" w:eastAsia="Arial" w:hAnsi="Arial"/>
          <w:sz w:val="18"/>
          <w:szCs w:val="18"/>
        </w:rPr>
        <w:t>本文件仅供项目说明与信息参考，不构成投资建议、要约或任何形式的承诺。加密资产具有高风险，价格可能剧烈波动，参与者应自行评估风险并遵守所在地法律法规。</w:t>
      </w:r>
    </w:p>
    <w:p w14:paraId="99D2624B">
      <w:pPr>
        <w:pStyle w:val="style0"/>
        <w:spacing w:after="80"/>
        <w:rPr/>
      </w:pPr>
      <w:r>
        <w:rPr>
          <w:rFonts w:ascii="Arial" w:cs="Arial" w:eastAsia="Arial" w:hAnsi="Arial"/>
          <w:sz w:val="18"/>
          <w:szCs w:val="18"/>
        </w:rPr>
        <w:t>所有经济参数、释放节奏、奖励比例以智能合约实际部署及官方公告为准。产品功能与合作推进可能随市场与监管情况调整。</w:t>
      </w:r>
    </w:p>
    <w:p w14:paraId="29AF9767">
      <w:pPr>
        <w:pStyle w:val="style0"/>
        <w:spacing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发起人介绍为项目设定人物，仅用于叙事定位，不构成对真实个人履历的背书。</w:t>
      </w:r>
    </w:p>
    <w:p w14:paraId="7079B95C">
      <w:pPr>
        <w:pStyle w:val="style4106"/>
        <w:rPr/>
      </w:pPr>
      <w:r>
        <w:t>一、项目概述</w:t>
      </w:r>
    </w:p>
    <w:p w14:paraId="3ACC9142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ORB 定位为连接传统金融与 Web3 的价值桥梁，核心方向包括：</w:t>
      </w:r>
    </w:p>
    <w:p w14:paraId="007879FD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中东石油及相关贸易的数字化结算与价值对接工具；</w:t>
      </w:r>
    </w:p>
    <w:p w14:paraId="32EBD03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Web3 交易所的平台代币；</w:t>
      </w:r>
    </w:p>
    <w:p w14:paraId="9F0E60E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内置社交、自媒体与交易功能的综合生态。</w:t>
      </w:r>
    </w:p>
    <w:p w14:paraId="5011B28B">
      <w:pPr>
        <w:pStyle w:val="style0"/>
        <w:spacing w:before="100"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贸易桥梁类应用需符合当地监管要求，具体落地以实际合规合作为准，不承诺独家或确定时间表。</w:t>
      </w:r>
    </w:p>
    <w:p w14:paraId="849C7BAF">
      <w:pPr>
        <w:pStyle w:val="style4106"/>
        <w:rPr/>
      </w:pPr>
      <w:r>
        <w:t>二、发起人介绍</w:t>
      </w:r>
    </w:p>
    <w:p w14:paraId="1B8AD82C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Dr. Omar Al-Rashid（奥马尔·阿勒拉希德博士）</w:t>
      </w:r>
    </w:p>
    <w:p w14:paraId="252B7667">
      <w:pPr>
        <w:pStyle w:val="style0"/>
        <w:spacing w:after="80"/>
        <w:rPr/>
      </w:pPr>
      <w:r>
        <w:rPr>
          <w:rFonts w:ascii="Arial" w:cs="Arial" w:eastAsia="Arial" w:hAnsi="Arial"/>
          <w:color w:val="666666"/>
          <w:sz w:val="18"/>
          <w:szCs w:val="18"/>
        </w:rPr>
        <w:t>区块链技术专家 ｜ Web3 生态顾问 ｜ 数字资产架构研究者</w:t>
      </w:r>
    </w:p>
    <w:p w14:paraId="46F7879B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拥有计算机科学与区块链技术研究背景，长期关注 Blockchain、Web3、DeFi 及 Digital Assets。主要研究方向包括区块链底层架构、智能合约、安全机制、Tokenomics 以及全球数字资产生态建设。曾参与多个区块链技术与数字资产生态项目，提供技术架构、智能合约设计及生态发展咨询。</w:t>
      </w:r>
    </w:p>
    <w:p w14:paraId="614BC5A4">
      <w:pPr>
        <w:pStyle w:val="style0"/>
        <w:spacing w:after="60"/>
        <w:rPr/>
      </w:pPr>
      <w:r>
        <w:rPr>
          <w:rFonts w:ascii="Arial" w:cs="Arial" w:eastAsia="Arial" w:hAnsi="Arial"/>
          <w:sz w:val="20"/>
          <w:szCs w:val="20"/>
        </w:rPr>
        <w:t>教育背景：计算机科学博士 ｜ Stanford University（斯坦福大学）</w:t>
      </w:r>
    </w:p>
    <w:p w14:paraId="83E0695A">
      <w:pPr>
        <w:pStyle w:val="style0"/>
        <w:spacing w:after="60"/>
        <w:rPr/>
      </w:pPr>
      <w:r>
        <w:rPr>
          <w:rFonts w:ascii="Arial" w:cs="Arial" w:eastAsia="Arial" w:hAnsi="Arial"/>
          <w:sz w:val="20"/>
          <w:szCs w:val="20"/>
        </w:rPr>
        <w:t>专业领域：Blockchain ｜ Smart Contract ｜ Web3 ｜ DeFi ｜ Digital Assets</w:t>
      </w:r>
    </w:p>
    <w:p w14:paraId="BB288EBC">
      <w:pPr>
        <w:pStyle w:val="style0"/>
        <w:spacing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以上为项目设定人物，仅用于白皮书叙事与定位说明。</w:t>
      </w:r>
    </w:p>
    <w:p w14:paraId="75F0095E">
      <w:pPr>
        <w:pStyle w:val="style4106"/>
        <w:rPr/>
      </w:pPr>
      <w:r>
        <w:t>三、愿景与使命</w:t>
      </w:r>
    </w:p>
    <w:p w14:paraId="EEF99620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愿景：成为连接中东能源贸易、全球货币体系与 Web3 数字经济的核心桥梁，让实体价值与链上资产高效、透明、低成本地互通。</w:t>
      </w:r>
    </w:p>
    <w:p w14:paraId="872A7643">
      <w:pPr>
        <w:pStyle w:val="style0"/>
        <w:spacing w:after="80"/>
        <w:rPr/>
      </w:pPr>
      <w:r>
        <w:rPr>
          <w:rFonts w:ascii="Arial" w:cs="Arial" w:eastAsia="Arial" w:hAnsi="Arial"/>
          <w:b/>
          <w:bCs/>
          <w:sz w:val="20"/>
          <w:szCs w:val="20"/>
        </w:rPr>
        <w:t>使命：</w:t>
      </w:r>
    </w:p>
    <w:p w14:paraId="AB7C5AB4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为中东石油及相关贸易提供数字化结算与对接工具；</w:t>
      </w:r>
    </w:p>
    <w:p w14:paraId="7960666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构建安全高效的 Web3 交易平台，以 ORB 作为平台核心代币；</w:t>
      </w:r>
    </w:p>
    <w:p w14:paraId="4748C4D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将社交、自媒体与交易深度融合，形成内容驱动的增长与价值循环；</w:t>
      </w:r>
    </w:p>
    <w:p w14:paraId="002EEE2A">
      <w:pPr>
        <w:pStyle w:val="style179"/>
        <w:numPr>
          <w:ilvl w:val="0"/>
          <w:numId w:val="1"/>
        </w:numPr>
        <w:spacing w:after="200"/>
        <w:rPr/>
      </w:pPr>
      <w:r>
        <w:rPr>
          <w:rFonts w:ascii="Arial" w:cs="Arial" w:eastAsia="Arial" w:hAnsi="Arial"/>
          <w:sz w:val="20"/>
          <w:szCs w:val="20"/>
        </w:rPr>
        <w:t>通过可持续通缩经济模型，实现长期价值捕获与生态繁荣。</w:t>
      </w:r>
    </w:p>
    <w:p w14:paraId="E362DDE7">
      <w:pPr>
        <w:pStyle w:val="style4106"/>
        <w:rPr/>
      </w:pPr>
      <w:r>
        <w:t>四、产品与生态</w:t>
      </w:r>
    </w:p>
    <w:p w14:paraId="66F2093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交易模块：支持现货等交易，ORB 可用于手续费相关权益与流动性激励。</w:t>
      </w:r>
    </w:p>
    <w:p w14:paraId="059510D1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社交与自媒体：用户可发布内容、互动、建立关注；创作者可通过生态激励获得 ORB。</w:t>
      </w:r>
    </w:p>
    <w:p w14:paraId="CA9EAEA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质押：多周期锁仓获取奖励，降低流通抛压。</w:t>
      </w:r>
    </w:p>
    <w:p w14:paraId="27CA5B7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邀请体系：三级普通邀请 + 市场团队无限级激励，驱动增长。</w:t>
      </w:r>
    </w:p>
    <w:p w14:paraId="BAE43346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桥梁叙事：探索与中东贸易场景相关的数字化价值传递（合规为前提）。</w:t>
      </w:r>
    </w:p>
    <w:p w14:paraId="BB9103F5">
      <w:pPr>
        <w:pStyle w:val="style0"/>
        <w:spacing w:before="100"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功能分阶段上线。早期以交易、质押、邀请、基础社交为主；贸易相关应用需合规推进。</w:t>
      </w:r>
    </w:p>
    <w:p w14:paraId="51C209A4">
      <w:pPr>
        <w:pStyle w:val="style4106"/>
        <w:rPr/>
      </w:pPr>
      <w:r>
        <w:t>五、代币经济模型（Tokenomics）</w:t>
      </w:r>
    </w:p>
    <w:p w14:paraId="FC4CAC8A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代币名称：ORB（暂定）　　总发行量：100 亿枚（固定总量，永不增发）</w:t>
      </w:r>
    </w:p>
    <w:p w14:paraId="3DA26251">
      <w:pPr>
        <w:pStyle w:val="style4107"/>
        <w:rPr/>
      </w:pPr>
      <w:r>
        <w:t>5.1 分配结构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1200"/>
        <w:gridCol w:w="1600"/>
        <w:gridCol w:w="4706"/>
      </w:tblGrid>
      <w:tr w14:paraId="E5940BE6">
        <w:trPr/>
        <w:tc>
          <w:tcPr>
            <w:tcW w:w="240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68B5808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类别</w:t>
            </w:r>
          </w:p>
        </w:tc>
        <w:tc>
          <w:tcPr>
            <w:tcW w:w="120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AA993066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占比</w:t>
            </w:r>
          </w:p>
        </w:tc>
        <w:tc>
          <w:tcPr>
            <w:tcW w:w="160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9580EC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数量</w:t>
            </w:r>
          </w:p>
        </w:tc>
        <w:tc>
          <w:tcPr>
            <w:tcW w:w="4706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92A29F37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说明</w:t>
            </w:r>
          </w:p>
        </w:tc>
      </w:tr>
      <w:tr w14:paraId="208F9BCD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79727F3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创始人（3人）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C37A7E8E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15%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891A7456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15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2152BF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平均每人 5 亿</w:t>
            </w:r>
          </w:p>
        </w:tc>
      </w:tr>
      <w:tr w14:paraId="58913BE6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92D1220E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市场营销（10人）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93B0F6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10%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30E264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10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8D328275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平均每人 1 亿</w:t>
            </w:r>
          </w:p>
        </w:tc>
      </w:tr>
      <w:tr w14:paraId="85E5B467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C811A09E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生态发展（10人）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6350625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5%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F2E3EF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5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CAAA5E65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平均每人 0.5 亿</w:t>
            </w:r>
          </w:p>
        </w:tc>
      </w:tr>
      <w:tr w14:paraId="25B00991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E0832FCF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储备金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8EDD924E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10%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37318A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10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13D064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应急与战略使用</w:t>
            </w:r>
          </w:p>
        </w:tc>
      </w:tr>
      <w:tr w14:paraId="334550B5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EADE6A78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市场空投（质押池）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8374AA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15%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B5833A9F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15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218A75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仅用于质押奖励</w:t>
            </w:r>
          </w:p>
        </w:tc>
      </w:tr>
      <w:tr w14:paraId="A70AE887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389654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邀请激励池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5C2C1D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5%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E911BF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5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BD9362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三级邀请 + 市场团队奖励</w:t>
            </w:r>
          </w:p>
        </w:tc>
      </w:tr>
      <w:tr w14:paraId="6E4D12A9">
        <w:tblPrEx/>
        <w:trPr/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673CA9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市场流动性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CA55122D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40%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70F158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40 亿</w:t>
            </w:r>
          </w:p>
        </w:tc>
        <w:tc>
          <w:tcPr>
            <w:tcW w:w="47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919677A7">
            <w:pPr>
              <w:pStyle w:val="style0"/>
              <w:jc w:val="left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分四年释放，每年一次</w:t>
            </w:r>
          </w:p>
        </w:tc>
      </w:tr>
    </w:tbl>
    <w:p w14:paraId="11470688">
      <w:pPr>
        <w:pStyle w:val="style0"/>
        <w:spacing w:before="80" w:after="16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分配比例合计 100%。总量固定，合约部署后不可增发。</w:t>
      </w:r>
    </w:p>
    <w:p w14:paraId="8ED6B770">
      <w:pPr>
        <w:pStyle w:val="style4107"/>
        <w:rPr/>
      </w:pPr>
      <w:r>
        <w:t>5.2 释放与销毁机制（核心玩法）</w:t>
      </w:r>
    </w:p>
    <w:p w14:paraId="FE2522E4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统一规则（除储备金、质押池、邀请池外）：每次解锁自动销毁 30%，实际到账 70%。</w:t>
      </w:r>
    </w:p>
    <w:p w14:paraId="3301768B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创始人 / 生态发展 / 储备金：</w:t>
      </w:r>
    </w:p>
    <w:p w14:paraId="FDB3D97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总锁仓 12 个月；首次解锁为第 2 个月末；之后每月线性解锁（共 11 次）。</w:t>
      </w:r>
    </w:p>
    <w:p w14:paraId="78E43610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每次解锁量 = 总量 ÷ 11，到账 70%、销毁 30%。</w:t>
      </w:r>
    </w:p>
    <w:p w14:paraId="2F5C2FE5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储备金按相同节奏释放，但不强制销毁，可用于应急或战略调用。</w:t>
      </w:r>
    </w:p>
    <w:p w14:paraId="7503332F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市场营销：</w:t>
      </w:r>
    </w:p>
    <w:p w14:paraId="298F39BF">
      <w:pPr>
        <w:pStyle w:val="style0"/>
        <w:spacing w:after="60"/>
        <w:rPr/>
      </w:pPr>
      <w:r>
        <w:rPr>
          <w:rFonts w:ascii="Arial" w:cs="Arial" w:eastAsia="Arial" w:hAnsi="Arial"/>
          <w:sz w:val="20"/>
          <w:szCs w:val="20"/>
        </w:rPr>
        <w:t>按任务线性释放（社区建设、用户增长目标、渠道落地等）。任务完成后解锁对应份额，执行 70% 到账 + 30% 销毁。</w:t>
      </w:r>
    </w:p>
    <w:p w14:paraId="BF34AB6B">
      <w:pPr>
        <w:pStyle w:val="style0"/>
        <w:spacing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具体任务指标由项目方设定，完成后由合约或授权执行解锁。</w:t>
      </w:r>
    </w:p>
    <w:p w14:paraId="155E3949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市场流动性（40 亿）：</w:t>
      </w:r>
    </w:p>
    <w:p w14:paraId="F195B5D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分 4 次释放，每年一次，共分四年完成。</w:t>
      </w:r>
    </w:p>
    <w:p w14:paraId="816A415A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前两次销毁 15%（优先保证早期盘口深度）；后两次销毁 30%。</w:t>
      </w:r>
    </w:p>
    <w:p w14:paraId="CBC3FF4A">
      <w:pPr>
        <w:pStyle w:val="style0"/>
        <w:spacing w:before="60" w:after="16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质押池与邀请池不参与解锁销毁，专款专用。</w:t>
      </w:r>
    </w:p>
    <w:p w14:paraId="74543EA8">
      <w:pPr>
        <w:pStyle w:val="style4107"/>
        <w:rPr/>
      </w:pPr>
      <w:r>
        <w:t>5.3 手续费规则（核心玩法）</w:t>
      </w:r>
    </w:p>
    <w:p w14:paraId="66892A99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买入 3% ｜ 卖出 3% ｜ 划转 0.3%</w:t>
      </w:r>
    </w:p>
    <w:p w14:paraId="BE5FE944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第一年用途：</w:t>
      </w:r>
    </w:p>
    <w:p w14:paraId="C7FD6D76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15% 直接销毁（早期即有通缩）</w:t>
      </w:r>
    </w:p>
    <w:p w14:paraId="C7CF3F7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20% 补充流动性</w:t>
      </w:r>
    </w:p>
    <w:p w14:paraId="C68818F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65% 运营分配：生态建设 30%、市场营销 20%、储备补充 15%（原技术开发份额按比例并入生态与储备）</w:t>
      </w:r>
    </w:p>
    <w:p w14:paraId="17393683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第二年及以后：</w:t>
      </w:r>
    </w:p>
    <w:p w14:paraId="FBEDE1ED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全部买卖手续费 + 划点用于「有人卖出时自动买回并销毁」。</w:t>
      </w:r>
    </w:p>
    <w:p w14:paraId="A7EC3542">
      <w:pPr>
        <w:pStyle w:val="style0"/>
        <w:spacing w:after="16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卖出行为本身触发买回销毁，形成持续通缩。手续费分配与销毁均由合约执行，透明可查。</w:t>
      </w:r>
    </w:p>
    <w:p w14:paraId="62D26B08">
      <w:pPr>
        <w:pStyle w:val="style4107"/>
        <w:rPr/>
      </w:pPr>
      <w:r>
        <w:t>5.4 质押玩法（核心玩法）</w:t>
      </w:r>
    </w:p>
    <w:p w14:paraId="466856B8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奖励来源：市场空投池（15 亿枚 ORB），专款专用。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3302"/>
        <w:gridCol w:w="3302"/>
        <w:gridCol w:w="3302"/>
      </w:tblGrid>
      <w:tr w14:paraId="16567D83">
        <w:trPr/>
        <w:tc>
          <w:tcPr>
            <w:tcW w:w="3302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C9C34B3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质押时长</w:t>
            </w:r>
          </w:p>
        </w:tc>
        <w:tc>
          <w:tcPr>
            <w:tcW w:w="3302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DB1B4E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第一年年化</w:t>
            </w:r>
          </w:p>
        </w:tc>
        <w:tc>
          <w:tcPr>
            <w:tcW w:w="3302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single" w:sz="1" w:space="0" w:color="1f4e7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6729483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>第二年及以后年化</w:t>
            </w:r>
          </w:p>
        </w:tc>
      </w:tr>
      <w:tr w14:paraId="4507DF3D">
        <w:tblPrEx/>
        <w:trPr/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DE726AF8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 个月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AFE97942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25%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0A41E6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10%</w:t>
            </w:r>
          </w:p>
        </w:tc>
      </w:tr>
      <w:tr w14:paraId="54368EFB">
        <w:tblPrEx/>
        <w:trPr/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AED75324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3 个月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183A9B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50%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FD196CDD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20%</w:t>
            </w:r>
          </w:p>
        </w:tc>
      </w:tr>
      <w:tr w14:paraId="55CC16B3">
        <w:tblPrEx/>
        <w:trPr/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F6BEB1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6 个月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3D3BDC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80%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6CBD01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35%</w:t>
            </w:r>
          </w:p>
        </w:tc>
      </w:tr>
      <w:tr w14:paraId="EB2C7F2C">
        <w:tblPrEx/>
        <w:trPr/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D0BFBD86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12 个月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04A5B9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130%</w:t>
            </w:r>
          </w:p>
        </w:tc>
        <w:tc>
          <w:tcPr>
            <w:tcW w:w="33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89B72F55">
            <w:pPr>
              <w:pStyle w:val="style0"/>
              <w:jc w:val="center"/>
              <w:rPr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>60%</w:t>
            </w:r>
          </w:p>
        </w:tc>
      </w:tr>
    </w:tbl>
    <w:p w14:paraId="AD22F162">
      <w:pPr>
        <w:pStyle w:val="style0"/>
        <w:spacing w:before="1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利率按时长线性递增，锁得越久年化越高。</w:t>
      </w:r>
    </w:p>
    <w:p w14:paraId="582FCDDF">
      <w:pPr>
        <w:pStyle w:val="style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硬性发放上限：每日最多释放质押池的 0.4%，每月最多 10%。超出部分顺延，防止池子过快耗尽。</w:t>
      </w:r>
    </w:p>
    <w:p w14:paraId="36DA5912">
      <w:pPr>
        <w:pStyle w:val="style0"/>
        <w:spacing w:after="16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奖励到账：50% 即时到账，50% 锁 60 天线性释放，降低即时抛压。</w:t>
      </w:r>
    </w:p>
    <w:p w14:paraId="FC21CB65">
      <w:pPr>
        <w:pStyle w:val="style4107"/>
        <w:rPr/>
      </w:pPr>
      <w:r>
        <w:t>5.5 邀请激励玩法（核心玩法）</w:t>
      </w:r>
    </w:p>
    <w:p w14:paraId="D6A7825D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奖励来源：邀请激励池（5 亿枚 ORB），专款专用，耗尽后自动停止。</w:t>
      </w:r>
    </w:p>
    <w:p w14:paraId="76ECB448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计算基础：</w:t>
      </w:r>
    </w:p>
    <w:p w14:paraId="5994701F">
      <w:pPr>
        <w:pStyle w:val="style0"/>
        <w:spacing w:after="80"/>
        <w:rPr/>
      </w:pPr>
      <w:r>
        <w:rPr>
          <w:rFonts w:ascii="Arial" w:cs="Arial" w:eastAsia="Arial" w:hAnsi="Arial"/>
          <w:sz w:val="20"/>
          <w:szCs w:val="20"/>
        </w:rPr>
        <w:t>以被邀请人「首次有效行为」的金额（交易或质押的 U 价值）为基数，按固定比例发放 ORB。</w:t>
      </w:r>
    </w:p>
    <w:p w14:paraId="7481F913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每个被邀请人独立计算，互不影响；邀请多人则奖励直接累加。</w:t>
      </w:r>
    </w:p>
    <w:p w14:paraId="E94CAE5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买得越多，奖励绝对值越高（比例不递减）。</w:t>
      </w:r>
    </w:p>
    <w:p w14:paraId="0B2C73B0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有效行为 = 首次真实交易或首次质押，且金额 ≥ 20 U。</w:t>
      </w:r>
    </w:p>
    <w:p w14:paraId="70932E40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普通用户三级比例：</w:t>
      </w:r>
    </w:p>
    <w:p w14:paraId="A8407DC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一级（直接邀请）：首次有效金额的 1.2%</w:t>
      </w:r>
    </w:p>
    <w:p w14:paraId="1FEF6BF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二级：0.4%</w:t>
      </w:r>
    </w:p>
    <w:p w14:paraId="1151365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三级：0.2%</w:t>
      </w:r>
    </w:p>
    <w:p w14:paraId="61387F14">
      <w:pPr>
        <w:pStyle w:val="style0"/>
        <w:spacing w:before="60" w:after="80"/>
        <w:rPr/>
      </w:pPr>
      <w:r>
        <w:rPr>
          <w:rFonts w:ascii="Arial" w:cs="Arial" w:eastAsia="Arial" w:hAnsi="Arial"/>
          <w:sz w:val="20"/>
          <w:szCs w:val="20"/>
        </w:rPr>
        <w:t>合计最高 1.8%。</w:t>
      </w:r>
    </w:p>
    <w:p w14:paraId="2D07F9EF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示例（帮助理解分配）：</w:t>
      </w:r>
    </w:p>
    <w:p w14:paraId="7C28DC1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你邀请 A，A 首次交易 100 U → 你获得约 1.2 U 等值 ORB；你的上级获得 0.4 U 等值；再上级获得 0.2 U 等值。</w:t>
      </w:r>
    </w:p>
    <w:p w14:paraId="2137E90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你同时邀请 B，B 首次交易 500 U → 你再额外获得约 6 U 等值 ORB，上级与再上级对应增加。两个邀请完全独立、直接相加。</w:t>
      </w:r>
    </w:p>
    <w:p w14:paraId="EA92DF6B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合约按触发时价格自动换算为 ORB 数量。</w:t>
      </w:r>
    </w:p>
    <w:p w14:paraId="4FB86858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单人保护规则：</w:t>
      </w:r>
    </w:p>
    <w:p w14:paraId="57B2DC83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最低门槛：≥ 20 U 才触发。</w:t>
      </w:r>
    </w:p>
    <w:p w14:paraId="502FC3AD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单人最高奖励上限：等值 150 U 的 ORB（按触发时价格实时计算）。</w:t>
      </w:r>
    </w:p>
    <w:p w14:paraId="94B7D862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上限锚定价值而非固定代币数。开盘价低时用户可获更多枚 ORB；价格上涨后对应数量自动减少，兼顾早期吸引力与池子安全。例如开盘价 0.001 U 时，150 U 上限约对应 15 万枚 ORB。</w:t>
      </w:r>
    </w:p>
    <w:p w14:paraId="C7A7C558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市场营销团队（无限级）：</w:t>
      </w:r>
    </w:p>
    <w:p w14:paraId="F7958397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一级额外 25%；二级额外 12%；三级及以下额外 4%。</w:t>
      </w:r>
    </w:p>
    <w:p w14:paraId="3484C39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市场团队整体累计不超过邀请池总发放量的 25%（合约自动熔断）。</w:t>
      </w:r>
    </w:p>
    <w:p w14:paraId="05EA8019">
      <w:pPr>
        <w:pStyle w:val="style0"/>
        <w:spacing w:before="60" w:after="8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注：10 人内部按实际贡献或预先约定比例分配。</w:t>
      </w:r>
      <w:r>
        <w:rPr>
          <w:rFonts w:ascii="Arial" w:cs="Arial" w:eastAsia="Arial" w:hAnsi="Arial"/>
          <w:color w:val="666666"/>
          <w:sz w:val="18"/>
          <w:szCs w:val="18"/>
        </w:rPr>
      </w:r>
    </w:p>
    <w:p w14:paraId="F79CD926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到账与安全：</w:t>
      </w:r>
    </w:p>
    <w:p w14:paraId="8CB2C88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奖励 50% 即时到账，50% 锁 30 天线性释放。</w:t>
      </w:r>
    </w:p>
    <w:p w14:paraId="5808C8AE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邀请关系绑定后不可更改。</w:t>
      </w:r>
    </w:p>
    <w:p w14:paraId="FC2FC359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防刷：设备/IP/钱包关联限制 + 最低门槛 + 黑名单。</w:t>
      </w:r>
    </w:p>
    <w:p w14:paraId="28273B83">
      <w:pPr>
        <w:pStyle w:val="style0"/>
        <w:spacing w:before="60"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全部由智能合约自动计算并发放，官网仅展示与交互。</w:t>
      </w:r>
    </w:p>
    <w:p w14:paraId="B1003654">
      <w:pPr>
        <w:pStyle w:val="style4106"/>
        <w:rPr/>
      </w:pPr>
      <w:r>
        <w:t>六、官网核心功能</w:t>
      </w:r>
    </w:p>
    <w:p w14:paraId="2DDF4D44">
      <w:pPr>
        <w:pStyle w:val="style179"/>
        <w:numPr>
          <w:ilvl w:val="0"/>
          <w:numId w:val="3"/>
        </w:numPr>
        <w:rPr/>
      </w:pPr>
      <w:r>
        <w:rPr>
          <w:rFonts w:ascii="Arial" w:cs="Arial" w:eastAsia="Arial" w:hAnsi="Arial"/>
          <w:sz w:val="20"/>
          <w:szCs w:val="20"/>
        </w:rPr>
        <w:t>邀请链接：一键生成专属链接/二维码，实时显示三级数据与奖励。</w:t>
      </w:r>
    </w:p>
    <w:p w14:paraId="EFD2F64F">
      <w:pPr>
        <w:pStyle w:val="style179"/>
        <w:numPr>
          <w:ilvl w:val="0"/>
          <w:numId w:val="3"/>
        </w:numPr>
        <w:rPr/>
      </w:pPr>
      <w:r>
        <w:rPr>
          <w:rFonts w:ascii="Arial" w:cs="Arial" w:eastAsia="Arial" w:hAnsi="Arial"/>
          <w:sz w:val="20"/>
          <w:szCs w:val="20"/>
        </w:rPr>
        <w:t>自动合约调用：邀请与质押奖励全部合约直发。</w:t>
      </w:r>
    </w:p>
    <w:p w14:paraId="699C61AB">
      <w:pPr>
        <w:pStyle w:val="style179"/>
        <w:numPr>
          <w:ilvl w:val="0"/>
          <w:numId w:val="3"/>
        </w:numPr>
        <w:rPr/>
      </w:pPr>
      <w:r>
        <w:rPr>
          <w:rFonts w:ascii="Arial" w:cs="Arial" w:eastAsia="Arial" w:hAnsi="Arial"/>
          <w:sz w:val="20"/>
          <w:szCs w:val="20"/>
        </w:rPr>
        <w:t>质押入口：支持 1/3/6/12 个月，实时利率与收益展示。</w:t>
      </w:r>
    </w:p>
    <w:p w14:paraId="E9A0EF58">
      <w:pPr>
        <w:pStyle w:val="style179"/>
        <w:numPr>
          <w:ilvl w:val="0"/>
          <w:numId w:val="3"/>
        </w:numPr>
        <w:rPr/>
      </w:pPr>
      <w:r>
        <w:rPr>
          <w:rFonts w:ascii="Arial" w:cs="Arial" w:eastAsia="Arial" w:hAnsi="Arial"/>
          <w:sz w:val="20"/>
          <w:szCs w:val="20"/>
        </w:rPr>
        <w:t>白皮书板块：完整展示本文件内容，支持阅读与下载。</w:t>
      </w:r>
    </w:p>
    <w:p w14:paraId="FFFC781C">
      <w:pPr>
        <w:pStyle w:val="style179"/>
        <w:numPr>
          <w:ilvl w:val="0"/>
          <w:numId w:val="3"/>
        </w:numPr>
        <w:rPr/>
      </w:pPr>
      <w:r>
        <w:rPr>
          <w:rFonts w:ascii="Arial" w:cs="Arial" w:eastAsia="Arial" w:hAnsi="Arial"/>
          <w:sz w:val="20"/>
          <w:szCs w:val="20"/>
        </w:rPr>
        <w:t>透明数据看板：供应量、销毁、各池余额、手续费使用、池子消耗预估等链上可读。</w:t>
      </w:r>
    </w:p>
    <w:p w14:paraId="58C02730">
      <w:pPr>
        <w:pStyle w:val="style179"/>
        <w:numPr>
          <w:ilvl w:val="0"/>
          <w:numId w:val="3"/>
        </w:numPr>
        <w:spacing w:after="200"/>
        <w:rPr/>
      </w:pPr>
      <w:r>
        <w:rPr>
          <w:rFonts w:ascii="Arial" w:cs="Arial" w:eastAsia="Arial" w:hAnsi="Arial"/>
          <w:sz w:val="20"/>
          <w:szCs w:val="20"/>
        </w:rPr>
        <w:t>市场团队专属面板：全树下线统计与可领取奖励。</w:t>
      </w:r>
    </w:p>
    <w:p w14:paraId="184F8B57">
      <w:pPr>
        <w:pStyle w:val="style4106"/>
        <w:rPr/>
      </w:pPr>
      <w:r>
        <w:t>七、整体闭环逻辑</w:t>
      </w:r>
    </w:p>
    <w:p w14:paraId="6A070051">
      <w:pPr>
        <w:pStyle w:val="style0"/>
        <w:spacing w:after="80"/>
        <w:rPr/>
      </w:pPr>
      <w:r>
        <w:rPr>
          <w:rFonts w:ascii="Arial" w:cs="Arial" w:eastAsia="Arial" w:hAnsi="Arial"/>
          <w:b/>
          <w:bCs/>
          <w:sz w:val="20"/>
          <w:szCs w:val="20"/>
        </w:rPr>
        <w:t>早期（第 1 年）：</w:t>
      </w:r>
    </w:p>
    <w:p w14:paraId="AD61F8FD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友好手续费 + 统一比例邀请（多邀请多得、金额越大奖励越高）+ 合理质押 + 手续费 15% 直接销毁 + 奖励部分锁仓 → 快速获客、深度锁仓、早期通缩，建立信心与网络效应。</w:t>
      </w:r>
    </w:p>
    <w:p w14:paraId="B3AC19BC">
      <w:pPr>
        <w:pStyle w:val="style0"/>
        <w:spacing w:after="80"/>
        <w:rPr/>
      </w:pPr>
      <w:r>
        <w:rPr>
          <w:rFonts w:ascii="Arial" w:cs="Arial" w:eastAsia="Arial" w:hAnsi="Arial"/>
          <w:b/>
          <w:bCs/>
          <w:sz w:val="20"/>
          <w:szCs w:val="20"/>
        </w:rPr>
        <w:t>中后期（第 2 年及以后）：</w:t>
      </w:r>
    </w:p>
    <w:p w14:paraId="36A96A97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质押利率下调 + 每日/每月硬性发放上限 + 卖出手续费全额买回销毁 + 团队与流动性持续销毁 → 持续通缩，供需正向循环。</w:t>
      </w:r>
    </w:p>
    <w:p w14:paraId="F73E02F9">
      <w:pPr>
        <w:pStyle w:val="style0"/>
        <w:spacing w:after="80"/>
        <w:rPr/>
      </w:pPr>
      <w:r>
        <w:rPr>
          <w:rFonts w:ascii="Arial" w:cs="Arial" w:eastAsia="Arial" w:hAnsi="Arial"/>
          <w:b/>
          <w:bCs/>
          <w:sz w:val="20"/>
          <w:szCs w:val="20"/>
        </w:rPr>
        <w:t>永久机制：</w:t>
      </w:r>
    </w:p>
    <w:p w14:paraId="E91776B0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邀请获客成本可控（固定池）+ 质押锁定流通 + 卖出即触发买回销毁，形成「增长 → 锁定 → 销毁」自我强化闭环。</w:t>
      </w:r>
    </w:p>
    <w:p w14:paraId="727BAAE6">
      <w:pPr>
        <w:pStyle w:val="style0"/>
        <w:spacing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项目方持续获得手续费分配与通缩价值支撑；用户通过邀请与质押获得明确回报，双方激励相容。</w:t>
      </w:r>
    </w:p>
    <w:p w14:paraId="E4BC7988">
      <w:pPr>
        <w:pStyle w:val="style4106"/>
        <w:rPr/>
      </w:pPr>
      <w:r>
        <w:t>八、技术与安全</w:t>
      </w:r>
    </w:p>
    <w:p w14:paraId="9D0156E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智能合约实现全部分配、释放、销毁、质押、邀请与手续费逻辑。</w:t>
      </w:r>
    </w:p>
    <w:p w14:paraId="3EC1095B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关键参数建议采用多签 + 时间锁管理。</w:t>
      </w:r>
    </w:p>
    <w:p w14:paraId="8D4F32F6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上线前进行专业安全审计，报告公开。</w:t>
      </w:r>
    </w:p>
    <w:p w14:paraId="315D1ED6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官网展示链上可验证数据。</w:t>
      </w:r>
    </w:p>
    <w:p w14:paraId="9FA5B122">
      <w:pPr>
        <w:pStyle w:val="style0"/>
        <w:spacing w:before="80"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合约地址、审计报告与多签信息将通过官方渠道公布。用户应只通过官方验证渠道交互。</w:t>
      </w:r>
    </w:p>
    <w:p w14:paraId="D8257555">
      <w:pPr>
        <w:pStyle w:val="style4106"/>
        <w:rPr/>
      </w:pPr>
      <w:r>
        <w:t>九、路线图</w:t>
      </w:r>
    </w:p>
    <w:p w14:paraId="BFA5897E">
      <w:pPr>
        <w:pStyle w:val="style0"/>
        <w:spacing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第一阶段（基础建设）：</w:t>
      </w:r>
    </w:p>
    <w:p w14:paraId="DC69E7CF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完成合约开发、审计与部署；上线官网、邀请、质押；建立初始流动性与社区。</w:t>
      </w:r>
    </w:p>
    <w:p w14:paraId="4DC27218">
      <w:pPr>
        <w:pStyle w:val="style0"/>
        <w:spacing w:before="60"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第二阶段（交易与社交）：</w:t>
      </w:r>
    </w:p>
    <w:p w14:paraId="F95E6D7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上线交易所核心功能；开放基础社交与自媒体；完善数据看板。</w:t>
      </w:r>
    </w:p>
    <w:p w14:paraId="5E2F82FC">
      <w:pPr>
        <w:pStyle w:val="style0"/>
        <w:spacing w:before="60"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第三阶段（生态扩展）：</w:t>
      </w:r>
    </w:p>
    <w:p w14:paraId="DFEDA4BA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深化创作者激励；探索贸易数字化合规场景；持续优化参数。</w:t>
      </w:r>
    </w:p>
    <w:p w14:paraId="2445ED01">
      <w:pPr>
        <w:pStyle w:val="style0"/>
        <w:spacing w:before="60" w:after="60"/>
        <w:rPr/>
      </w:pPr>
      <w:r>
        <w:rPr>
          <w:rFonts w:ascii="Arial" w:cs="Arial" w:eastAsia="Arial" w:hAnsi="Arial"/>
          <w:b/>
          <w:bCs/>
          <w:sz w:val="20"/>
          <w:szCs w:val="20"/>
        </w:rPr>
        <w:t>第四阶段（长期治理）：</w:t>
      </w:r>
    </w:p>
    <w:p w14:paraId="DE256215">
      <w:pPr>
        <w:pStyle w:val="style179"/>
        <w:numPr>
          <w:ilvl w:val="0"/>
          <w:numId w:val="1"/>
        </w:numPr>
        <w:spacing w:after="200"/>
        <w:rPr/>
      </w:pPr>
      <w:r>
        <w:rPr>
          <w:rFonts w:ascii="Arial" w:cs="Arial" w:eastAsia="Arial" w:hAnsi="Arial"/>
          <w:sz w:val="20"/>
          <w:szCs w:val="20"/>
        </w:rPr>
        <w:t>逐步引入社区治理；视需求扩展多链或跨生态合作。</w:t>
      </w:r>
    </w:p>
    <w:p w14:paraId="B4A5EC34">
      <w:pPr>
        <w:pStyle w:val="style4106"/>
        <w:rPr/>
      </w:pPr>
      <w:r>
        <w:t>十、风险提示</w:t>
      </w:r>
    </w:p>
    <w:p w14:paraId="876BBBB6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市场风险：价格波动剧烈，可能大幅亏损。</w:t>
      </w:r>
    </w:p>
    <w:p w14:paraId="FDDB2F57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技术风险：合约虽经审计，仍可能存在未知问题。</w:t>
      </w:r>
    </w:p>
    <w:p w14:paraId="E945C858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监管风险：政策变化可能影响落地与使用。</w:t>
      </w:r>
    </w:p>
    <w:p w14:paraId="74F5A2F0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流动性风险：早期或极端行情下买卖价差可能扩大。</w:t>
      </w:r>
    </w:p>
    <w:p w14:paraId="DB95D325">
      <w:pPr>
        <w:pStyle w:val="style179"/>
        <w:numPr>
          <w:ilvl w:val="0"/>
          <w:numId w:val="1"/>
        </w:numPr>
        <w:rPr/>
      </w:pPr>
      <w:r>
        <w:rPr>
          <w:rFonts w:ascii="Arial" w:cs="Arial" w:eastAsia="Arial" w:hAnsi="Arial"/>
          <w:sz w:val="20"/>
          <w:szCs w:val="20"/>
        </w:rPr>
        <w:t>执行风险：产品与合作进度可能不及预期。</w:t>
      </w:r>
    </w:p>
    <w:p w14:paraId="41B1F23C">
      <w:pPr>
        <w:pStyle w:val="style0"/>
        <w:spacing w:before="80" w:after="200"/>
        <w:rPr/>
      </w:pPr>
      <w:r>
        <w:rPr>
          <w:rFonts w:ascii="Arial" w:cs="Arial" w:eastAsia="Arial" w:hAnsi="Arial"/>
          <w:b/>
          <w:bCs/>
          <w:color w:val="c00000"/>
          <w:sz w:val="18"/>
          <w:szCs w:val="18"/>
        </w:rPr>
        <w:t>注：</w:t>
      </w:r>
      <w:r>
        <w:rPr>
          <w:rFonts w:ascii="Arial" w:cs="Arial" w:eastAsia="Arial" w:hAnsi="Arial"/>
          <w:color w:val="666666"/>
          <w:sz w:val="18"/>
          <w:szCs w:val="18"/>
        </w:rPr>
        <w:t>请充分了解风险，仅使用可承受损失的资金，并遵守当地法律法规。</w:t>
      </w:r>
    </w:p>
    <w:p w14:paraId="44591BAD">
      <w:pPr>
        <w:pStyle w:val="style4106"/>
        <w:rPr/>
      </w:pPr>
      <w:r>
        <w:t>十一、结语</w:t>
      </w:r>
    </w:p>
    <w:p w14:paraId="4612DEE9">
      <w:pPr>
        <w:pStyle w:val="style0"/>
        <w:spacing w:after="100"/>
        <w:rPr/>
      </w:pPr>
      <w:r>
        <w:rPr>
          <w:rFonts w:ascii="Arial" w:cs="Arial" w:eastAsia="Arial" w:hAnsi="Arial"/>
          <w:sz w:val="20"/>
          <w:szCs w:val="20"/>
        </w:rPr>
        <w:t>ORB 以清晰的平台代币定位、通缩经济设计与社交交易融合，致力于成为传统价值与 Web3 之间的桥梁。所有机制均以合约落地、数据透明、风险明示为原则。</w:t>
      </w:r>
    </w:p>
    <w:p w14:paraId="97972E6B">
      <w:pPr>
        <w:pStyle w:val="style0"/>
        <w:spacing w:after="200"/>
        <w:rPr/>
      </w:pPr>
      <w:r>
        <w:rPr>
          <w:rFonts w:ascii="Arial" w:cs="Arial" w:eastAsia="Arial" w:hAnsi="Arial"/>
          <w:sz w:val="20"/>
          <w:szCs w:val="20"/>
        </w:rPr>
        <w:t>我们邀请认同长期建设的参与者，共同见证生态发展。</w:t>
      </w:r>
    </w:p>
    <w:p w14:paraId="F334BB87">
      <w:pPr>
        <w:pStyle w:val="style0"/>
        <w:spacing w:before="200"/>
        <w:jc w:val="center"/>
        <w:rPr/>
      </w:pPr>
      <w:r>
        <w:rPr>
          <w:rFonts w:ascii="Arial" w:cs="Arial" w:eastAsia="Arial" w:hAnsi="Arial"/>
          <w:color w:val="999999"/>
          <w:sz w:val="18"/>
          <w:szCs w:val="18"/>
        </w:rPr>
        <w:t>— 文档结束 —</w:t>
      </w:r>
    </w:p>
    <w:p w14:paraId="6753B783">
      <w:pPr>
        <w:pStyle w:val="style0"/>
        <w:spacing w:before="40"/>
        <w:jc w:val="center"/>
        <w:rPr/>
      </w:pPr>
      <w:r>
        <w:rPr>
          <w:rFonts w:ascii="Arial" w:cs="Arial" w:eastAsia="Arial" w:hAnsi="Arial"/>
          <w:color w:val="666666"/>
          <w:sz w:val="16"/>
          <w:szCs w:val="16"/>
        </w:rPr>
        <w:t>ORB Token 正式完整版  |  玩法规则已全部注释说明</w:t>
      </w:r>
    </w:p>
    <w:p w14:paraId="33FA81A6">
      <w:pPr>
        <w:pStyle w:val="style0"/>
        <w:spacing w:before="20"/>
        <w:jc w:val="center"/>
        <w:rPr/>
      </w:pPr>
      <w:r>
        <w:rPr>
          <w:rFonts w:ascii="Arial" w:cs="Arial" w:eastAsia="Arial" w:hAnsi="Arial"/>
          <w:color w:val="999999"/>
          <w:sz w:val="16"/>
          <w:szCs w:val="16"/>
        </w:rPr>
        <w:t>代币名称暂定 ORB，最终以正式发布为准。本文件不构成投资建议。</w:t>
      </w:r>
    </w:p>
    <w:sectPr>
      <w:headerReference w:type="default" r:id="rId2"/>
      <w:footerReference w:type="default" r:id="rId3"/>
      <w:pgSz w:w="11906" w:h="16838" w:orient="portrait"/>
      <w:pgMar w:top="1000" w:right="1000" w:bottom="1000" w:left="100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E26C0839">
    <w:pPr>
      <w:pStyle w:val="style0"/>
      <w:jc w:val="center"/>
      <w:rPr/>
    </w:pPr>
    <w:r>
      <w:rPr>
        <w:rFonts w:ascii="Arial" w:cs="Arial" w:eastAsia="Arial" w:hAnsi="Arial"/>
        <w:color w:val="666666"/>
        <w:sz w:val="16"/>
        <w:szCs w:val="16"/>
      </w:rPr>
      <w:t xml:space="preserve">ORB Token  |  第 </w:t>
    </w:r>
    <w:r>
      <w:rPr>
        <w:rFonts w:ascii="Arial" w:cs="Arial" w:eastAsia="Arial" w:hAnsi="Arial"/>
        <w:color w:val="666666"/>
        <w:sz w:val="16"/>
        <w:szCs w:val="16"/>
      </w:rPr>
      <w:fldChar w:fldCharType="begin"/>
    </w:r>
    <w:r>
      <w:rPr>
        <w:rFonts w:ascii="Arial" w:cs="Arial" w:eastAsia="Arial" w:hAnsi="Arial"/>
        <w:color w:val="666666"/>
        <w:sz w:val="16"/>
        <w:szCs w:val="16"/>
      </w:rPr>
      <w:instrText>PAGE</w:instrText>
    </w:r>
    <w:r>
      <w:rPr>
        <w:rFonts w:ascii="Arial" w:cs="Arial" w:eastAsia="Arial" w:hAnsi="Arial"/>
        <w:color w:val="666666"/>
        <w:sz w:val="16"/>
        <w:szCs w:val="16"/>
      </w:rPr>
      <w:fldChar w:fldCharType="separate"/>
    </w:r>
    <w:r>
      <w:rPr>
        <w:rFonts w:ascii="Arial" w:cs="Arial" w:eastAsia="Arial" w:hAnsi="Arial"/>
        <w:color w:val="666666"/>
        <w:sz w:val="16"/>
        <w:szCs w:val="16"/>
      </w:rPr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页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4744330">
    <w:pPr>
      <w:pStyle w:val="style0"/>
      <w:pBdr>
        <w:bottom w:val="single" w:sz="6" w:space="4" w:color="1f4e79"/>
      </w:pBdr>
      <w:rPr/>
    </w:pPr>
    <w:r>
      <w:rPr>
        <w:rFonts w:ascii="Arial" w:cs="Arial" w:eastAsia="Arial" w:hAnsi="Arial"/>
        <w:b/>
        <w:bCs/>
        <w:color w:val="1f4e79"/>
        <w:sz w:val="16"/>
        <w:szCs w:val="16"/>
      </w:rPr>
      <w:t>ORB 正式文档</w:t>
    </w:r>
    <w:r>
      <w:rPr>
        <w:rFonts w:ascii="Arial" w:cs="Arial" w:eastAsia="Arial" w:hAnsi="Arial"/>
        <w:color w:val="666666"/>
        <w:sz w:val="16"/>
        <w:szCs w:val="16"/>
      </w:rPr>
      <w:t xml:space="preserve">  |  Tokenomics &amp; Whitepaper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0000001"/>
    <w:multiLevelType w:val="hybridMultilevel"/>
    <w:tmpl w:val="FFFFFFFF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2">
    <w:nsid w:val="00000002"/>
    <w:multiLevelType w:val="hybridMultilevel"/>
    <w:tmpl w:val="FFFFFFFF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0"/>
        <w:szCs w:val="20"/>
      </w:rPr>
    </w:rPrDefault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106">
    <w:name w:val="Heading 1"/>
    <w:next w:val="style4106"/>
    <w:qFormat/>
    <w:pPr>
      <w:spacing w:before="320" w:after="16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customStyle="1" w:styleId="style4107">
    <w:name w:val="Heading 2"/>
    <w:next w:val="style4107"/>
    <w:qFormat/>
    <w:pPr>
      <w:spacing w:before="240" w:after="120"/>
      <w:outlineLvl w:val="1"/>
    </w:pPr>
    <w:rPr>
      <w:rFonts w:ascii="Arial" w:cs="Arial" w:eastAsia="Arial" w:hAnsi="Arial"/>
      <w:b/>
      <w:bCs/>
      <w:color w:val="2e75b6"/>
      <w:sz w:val="24"/>
      <w:szCs w:val="24"/>
    </w:rPr>
  </w:style>
  <w:style w:type="paragraph" w:customStyle="1" w:styleId="style4108">
    <w:name w:val="Heading 3"/>
    <w:next w:val="style4108"/>
    <w:qFormat/>
    <w:pPr>
      <w:spacing w:before="180" w:after="100"/>
      <w:outlineLvl w:val="2"/>
    </w:pPr>
    <w:rPr>
      <w:rFonts w:ascii="Arial" w:cs="Arial" w:eastAsia="Arial" w:hAnsi="Arial"/>
      <w:b/>
      <w:bCs/>
      <w:color w:val="404040"/>
      <w:sz w:val="22"/>
      <w:szCs w:val="22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77154f44-c8fc-49ae-956e-4ca39573286f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3401</Words>
  <Characters>3790</Characters>
  <Application>WPS Office</Application>
  <Paragraphs>209</Paragraphs>
  <CharactersWithSpaces>4059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2026-09-17T00:55:22Z</dcterms:created>
  <dc:creator>Un-named</dc:creator>
  <lastModifiedBy>2509FPN0BC</lastModifiedBy>
  <dcterms:modified xsi:type="dcterms:W3CDTF">2026-09-17T00:55:22Z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752f48f8394a495db4eb3ecdf1054fdc_23</vt:lpwstr>
  </property>
</Properties>
</file>